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highlight w:val="none"/>
        </w:rPr>
      </w:pPr>
    </w:p>
    <w:p>
      <w:pPr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</w:p>
    <w:p>
      <w:pPr>
        <w:pStyle w:val="24"/>
        <w:spacing w:before="2496" w:beforeLines="800"/>
        <w:rPr>
          <w:rFonts w:eastAsia="方正小标宋_GBK"/>
          <w:bCs/>
          <w:kern w:val="2"/>
          <w:sz w:val="44"/>
          <w:szCs w:val="36"/>
          <w:highlight w:val="none"/>
        </w:rPr>
      </w:pPr>
      <w:r>
        <w:rPr>
          <w:rFonts w:hint="eastAsia" w:eastAsia="方正小标宋_GBK"/>
          <w:bCs/>
          <w:kern w:val="2"/>
          <w:sz w:val="44"/>
          <w:szCs w:val="36"/>
          <w:highlight w:val="none"/>
        </w:rPr>
        <w:t xml:space="preserve">林芝市直各预算单位 </w:t>
      </w:r>
      <w:r>
        <w:rPr>
          <w:rFonts w:eastAsia="方正小标宋_GBK"/>
          <w:bCs/>
          <w:kern w:val="2"/>
          <w:sz w:val="44"/>
          <w:szCs w:val="36"/>
          <w:highlight w:val="none"/>
        </w:rPr>
        <w:t xml:space="preserve">                </w:t>
      </w:r>
      <w:r>
        <w:rPr>
          <w:rFonts w:hint="eastAsia" w:eastAsia="方正小标宋_GBK"/>
          <w:bCs/>
          <w:kern w:val="2"/>
          <w:sz w:val="44"/>
          <w:szCs w:val="36"/>
          <w:highlight w:val="none"/>
        </w:rPr>
        <w:t>202</w:t>
      </w:r>
      <w:r>
        <w:rPr>
          <w:rFonts w:hint="eastAsia" w:eastAsia="方正小标宋_GBK"/>
          <w:bCs/>
          <w:kern w:val="2"/>
          <w:sz w:val="44"/>
          <w:szCs w:val="36"/>
          <w:highlight w:val="none"/>
          <w:lang w:val="en-US" w:eastAsia="zh-CN"/>
        </w:rPr>
        <w:t>2</w:t>
      </w:r>
      <w:r>
        <w:rPr>
          <w:rFonts w:hint="eastAsia" w:eastAsia="方正小标宋_GBK"/>
          <w:bCs/>
          <w:kern w:val="2"/>
          <w:sz w:val="44"/>
          <w:szCs w:val="36"/>
          <w:highlight w:val="none"/>
        </w:rPr>
        <w:t>年度</w:t>
      </w:r>
      <w:r>
        <w:rPr>
          <w:rFonts w:eastAsia="方正小标宋_GBK"/>
          <w:bCs/>
          <w:kern w:val="2"/>
          <w:sz w:val="44"/>
          <w:szCs w:val="36"/>
          <w:highlight w:val="none"/>
        </w:rPr>
        <w:t>绩效</w:t>
      </w:r>
      <w:r>
        <w:rPr>
          <w:rFonts w:hint="eastAsia" w:eastAsia="方正小标宋_GBK"/>
          <w:bCs/>
          <w:kern w:val="2"/>
          <w:sz w:val="44"/>
          <w:szCs w:val="36"/>
          <w:highlight w:val="none"/>
          <w:lang w:val="en-US" w:eastAsia="zh-CN"/>
        </w:rPr>
        <w:t>运行监控</w:t>
      </w:r>
      <w:r>
        <w:rPr>
          <w:rFonts w:hint="eastAsia" w:eastAsia="方正小标宋_GBK"/>
          <w:bCs/>
          <w:kern w:val="2"/>
          <w:sz w:val="44"/>
          <w:szCs w:val="36"/>
          <w:highlight w:val="none"/>
        </w:rPr>
        <w:t>汇总</w:t>
      </w:r>
      <w:r>
        <w:rPr>
          <w:rFonts w:eastAsia="方正小标宋_GBK"/>
          <w:bCs/>
          <w:kern w:val="2"/>
          <w:sz w:val="44"/>
          <w:szCs w:val="36"/>
          <w:highlight w:val="none"/>
        </w:rPr>
        <w:t>报告</w:t>
      </w:r>
    </w:p>
    <w:p>
      <w:pPr>
        <w:pStyle w:val="24"/>
        <w:spacing w:after="3120" w:afterLines="1000"/>
        <w:rPr>
          <w:rFonts w:eastAsia="方正仿宋_GBK"/>
          <w:highlight w:val="none"/>
        </w:rPr>
      </w:pPr>
      <w:bookmarkStart w:id="19" w:name="_GoBack"/>
      <w:bookmarkEnd w:id="19"/>
    </w:p>
    <w:p>
      <w:pPr>
        <w:pStyle w:val="20"/>
        <w:snapToGrid w:val="0"/>
        <w:spacing w:line="600" w:lineRule="exact"/>
        <w:ind w:left="0" w:leftChars="0" w:firstLine="0" w:firstLineChars="0"/>
        <w:rPr>
          <w:rFonts w:eastAsia="方正小标宋_GBK"/>
          <w:color w:val="000000"/>
          <w:highlight w:val="none"/>
          <w:lang w:val="en-US" w:bidi="en-US"/>
        </w:rPr>
      </w:pPr>
    </w:p>
    <w:p>
      <w:pPr>
        <w:pStyle w:val="20"/>
        <w:snapToGrid w:val="0"/>
        <w:spacing w:line="600" w:lineRule="exact"/>
        <w:ind w:left="0" w:leftChars="0" w:firstLine="1120" w:firstLineChars="400"/>
        <w:rPr>
          <w:rFonts w:eastAsia="方正小标宋_GBK"/>
          <w:color w:val="000000"/>
          <w:highlight w:val="none"/>
          <w:lang w:val="en-US" w:bidi="en-US"/>
        </w:rPr>
      </w:pPr>
    </w:p>
    <w:p>
      <w:pPr>
        <w:pStyle w:val="20"/>
        <w:snapToGrid w:val="0"/>
        <w:spacing w:line="600" w:lineRule="exact"/>
        <w:ind w:left="0" w:leftChars="0" w:firstLine="1120" w:firstLineChars="400"/>
        <w:rPr>
          <w:rFonts w:eastAsia="方正小标宋_GBK"/>
          <w:color w:val="000000"/>
          <w:highlight w:val="none"/>
          <w:lang w:val="en-US" w:bidi="en-US"/>
        </w:rPr>
      </w:pPr>
      <w:r>
        <w:rPr>
          <w:rFonts w:hint="eastAsia" w:eastAsia="方正小标宋_GBK"/>
          <w:color w:val="000000"/>
          <w:highlight w:val="none"/>
          <w:lang w:val="en-US" w:bidi="en-US"/>
        </w:rPr>
        <w:t>委托单位：林芝市财政局</w:t>
      </w:r>
    </w:p>
    <w:p>
      <w:pPr>
        <w:pStyle w:val="20"/>
        <w:snapToGrid w:val="0"/>
        <w:spacing w:line="600" w:lineRule="exact"/>
        <w:ind w:left="0" w:leftChars="0" w:firstLine="1120" w:firstLineChars="400"/>
        <w:rPr>
          <w:rFonts w:eastAsia="方正小标宋_GBK"/>
          <w:color w:val="000000"/>
          <w:highlight w:val="none"/>
          <w:lang w:val="en-US" w:bidi="en-US"/>
        </w:rPr>
      </w:pPr>
      <w:r>
        <w:rPr>
          <w:rFonts w:hint="eastAsia" w:eastAsia="方正小标宋_GBK"/>
          <w:color w:val="000000"/>
          <w:highlight w:val="none"/>
          <w:lang w:val="en-US" w:bidi="en-US"/>
        </w:rPr>
        <w:t>评价机构：西藏卓然天成会计师事务所</w:t>
      </w:r>
      <w:r>
        <w:rPr>
          <w:rFonts w:hint="eastAsia" w:eastAsia="方正小标宋_GBK"/>
          <w:color w:val="000000"/>
          <w:highlight w:val="none"/>
          <w:lang w:val="en-US" w:eastAsia="zh-CN" w:bidi="en-US"/>
        </w:rPr>
        <w:t>（</w:t>
      </w:r>
      <w:r>
        <w:rPr>
          <w:rFonts w:hint="eastAsia" w:eastAsia="方正小标宋_GBK"/>
          <w:color w:val="000000"/>
          <w:highlight w:val="none"/>
          <w:lang w:val="en-US" w:bidi="en-US"/>
        </w:rPr>
        <w:t>普通合伙</w:t>
      </w:r>
      <w:r>
        <w:rPr>
          <w:rFonts w:hint="eastAsia" w:eastAsia="方正小标宋_GBK"/>
          <w:color w:val="000000"/>
          <w:highlight w:val="none"/>
          <w:lang w:val="en-US" w:eastAsia="zh-CN" w:bidi="en-US"/>
        </w:rPr>
        <w:t>）</w:t>
      </w:r>
    </w:p>
    <w:p>
      <w:pPr>
        <w:pStyle w:val="23"/>
        <w:jc w:val="both"/>
        <w:rPr>
          <w:rFonts w:eastAsia="方正仿宋_GBK"/>
          <w:highlight w:val="none"/>
        </w:rPr>
      </w:pPr>
    </w:p>
    <w:p>
      <w:pPr>
        <w:pStyle w:val="20"/>
        <w:ind w:left="0" w:leftChars="0"/>
        <w:jc w:val="center"/>
        <w:rPr>
          <w:rFonts w:eastAsia="方正仿宋_GBK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szCs w:val="44"/>
          <w:highlight w:val="none"/>
        </w:rPr>
        <w:t>2022年</w:t>
      </w:r>
      <w:r>
        <w:rPr>
          <w:rFonts w:hint="eastAsia" w:ascii="方正小标宋_GBK" w:hAnsi="方正小标宋_GBK" w:eastAsia="方正小标宋_GBK" w:cs="方正小标宋_GBK"/>
          <w:bCs/>
          <w:szCs w:val="44"/>
          <w:highlight w:val="none"/>
          <w:lang w:val="en-US"/>
        </w:rPr>
        <w:t>1</w:t>
      </w:r>
      <w:r>
        <w:rPr>
          <w:rFonts w:hint="eastAsia" w:ascii="方正小标宋_GBK" w:hAnsi="方正小标宋_GBK" w:eastAsia="方正小标宋_GBK" w:cs="方正小标宋_GBK"/>
          <w:bCs/>
          <w:szCs w:val="44"/>
          <w:highlight w:val="none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Cs/>
          <w:szCs w:val="44"/>
          <w:highlight w:val="none"/>
        </w:rPr>
        <w:t>月</w:t>
      </w:r>
    </w:p>
    <w:p>
      <w:pPr>
        <w:rPr>
          <w:highlight w:val="none"/>
        </w:rPr>
      </w:pPr>
    </w:p>
    <w:sdt>
      <w:sdtPr>
        <w:rPr>
          <w:rFonts w:ascii="宋体" w:hAnsi="宋体" w:eastAsia="宋体" w:cs="Times New Roman"/>
          <w:kern w:val="2"/>
          <w:sz w:val="21"/>
          <w:szCs w:val="24"/>
          <w:highlight w:val="none"/>
          <w:lang w:val="en-US" w:eastAsia="zh-CN" w:bidi="ar-SA"/>
        </w:rPr>
        <w:id w:val="147482770"/>
        <w15:color w:val="DBDBDB"/>
        <w:docPartObj>
          <w:docPartGallery w:val="Table of Contents"/>
          <w:docPartUnique/>
        </w:docPartObj>
      </w:sdtPr>
      <w:sdtEndPr>
        <w:rPr>
          <w:rFonts w:ascii="Times New Roman" w:hAnsi="Times New Roman" w:eastAsia="宋体" w:cs="Times New Roman"/>
          <w:b/>
          <w:kern w:val="2"/>
          <w:sz w:val="21"/>
          <w:szCs w:val="24"/>
          <w:highlight w:val="none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宋体" w:hAnsi="宋体" w:eastAsia="宋体" w:cs="宋体"/>
              <w:b/>
              <w:bCs/>
              <w:sz w:val="44"/>
              <w:szCs w:val="44"/>
              <w:highlight w:val="none"/>
            </w:rPr>
          </w:pPr>
          <w:r>
            <w:rPr>
              <w:rFonts w:hint="eastAsia" w:ascii="宋体" w:hAnsi="宋体" w:eastAsia="宋体" w:cs="宋体"/>
              <w:b/>
              <w:bCs/>
              <w:sz w:val="44"/>
              <w:szCs w:val="44"/>
              <w:highlight w:val="none"/>
            </w:rPr>
            <w:t>目</w:t>
          </w:r>
          <w:r>
            <w:rPr>
              <w:rFonts w:hint="eastAsia" w:ascii="宋体" w:hAnsi="宋体" w:eastAsia="宋体" w:cs="宋体"/>
              <w:b/>
              <w:bCs/>
              <w:sz w:val="44"/>
              <w:szCs w:val="44"/>
              <w:highlight w:val="none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/>
              <w:bCs/>
              <w:sz w:val="44"/>
              <w:szCs w:val="44"/>
              <w:highlight w:val="none"/>
            </w:rPr>
            <w:t>录</w:t>
          </w:r>
        </w:p>
        <w:p>
          <w:pPr>
            <w:pStyle w:val="41"/>
            <w:tabs>
              <w:tab w:val="right" w:leader="dot" w:pos="8306"/>
            </w:tabs>
            <w:rPr>
              <w:rFonts w:hint="eastAsia" w:ascii="宋体" w:hAnsi="宋体" w:eastAsia="宋体" w:cs="宋体"/>
              <w:b/>
              <w:bCs/>
              <w:sz w:val="28"/>
              <w:szCs w:val="28"/>
              <w:highlight w:val="none"/>
            </w:rPr>
          </w:pPr>
          <w:r>
            <w:rPr>
              <w:rFonts w:hint="eastAsia" w:ascii="宋体" w:hAnsi="宋体" w:eastAsia="宋体" w:cs="宋体"/>
              <w:b/>
              <w:bCs/>
              <w:sz w:val="28"/>
              <w:szCs w:val="28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  <w:highlight w:val="none"/>
            </w:rPr>
            <w:instrText xml:space="preserve">TOC \o "1-2" \h \u </w:instrTex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  <w:highlight w:val="none"/>
            </w:rPr>
            <w:fldChar w:fldCharType="separate"/>
          </w:r>
        </w:p>
        <w:p>
          <w:pPr>
            <w:pStyle w:val="41"/>
            <w:tabs>
              <w:tab w:val="right" w:leader="dot" w:pos="8306"/>
            </w:tabs>
            <w:rPr>
              <w:rFonts w:hint="eastAsia" w:ascii="宋体" w:hAnsi="宋体" w:eastAsia="宋体" w:cs="宋体"/>
              <w:b/>
              <w:bCs/>
              <w:sz w:val="28"/>
              <w:szCs w:val="28"/>
              <w:highlight w:val="none"/>
            </w:rPr>
          </w:pPr>
          <w:r>
            <w:rPr>
              <w:rFonts w:hint="eastAsia" w:ascii="宋体" w:hAnsi="宋体" w:eastAsia="宋体" w:cs="宋体"/>
              <w:b/>
              <w:bCs/>
              <w:sz w:val="28"/>
              <w:szCs w:val="28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  <w:highlight w:val="none"/>
            </w:rPr>
            <w:instrText xml:space="preserve"> HYPERLINK \l _Toc1314 </w:instrTex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  <w:highlight w:val="none"/>
            </w:rPr>
            <w:t>一、基本情况</w: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  <w:highlight w:val="none"/>
            </w:rPr>
            <w:tab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  <w:highlight w:val="none"/>
            </w:rPr>
            <w:instrText xml:space="preserve"> PAGEREF _Toc1314 \h </w:instrTex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  <w:highlight w:val="none"/>
            </w:rPr>
            <w:t>1</w: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  <w:highlight w:val="none"/>
            </w:rPr>
            <w:fldChar w:fldCharType="end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  <w:highlight w:val="none"/>
            </w:rPr>
            <w:fldChar w:fldCharType="end"/>
          </w:r>
        </w:p>
        <w:p>
          <w:pPr>
            <w:pStyle w:val="42"/>
            <w:tabs>
              <w:tab w:val="right" w:leader="dot" w:pos="8306"/>
            </w:tabs>
            <w:rPr>
              <w:rFonts w:hint="eastAsia" w:ascii="宋体" w:hAnsi="宋体" w:eastAsia="宋体" w:cs="宋体"/>
              <w:b w:val="0"/>
              <w:bCs w:val="0"/>
              <w:sz w:val="28"/>
              <w:szCs w:val="28"/>
              <w:highlight w:val="none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8"/>
              <w:szCs w:val="28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8"/>
              <w:szCs w:val="28"/>
              <w:highlight w:val="none"/>
            </w:rPr>
            <w:instrText xml:space="preserve"> HYPERLINK \l _Toc27787 </w:instrText>
          </w:r>
          <w:r>
            <w:rPr>
              <w:rFonts w:hint="eastAsia" w:ascii="宋体" w:hAnsi="宋体" w:eastAsia="宋体" w:cs="宋体"/>
              <w:b w:val="0"/>
              <w:bCs w:val="0"/>
              <w:sz w:val="28"/>
              <w:szCs w:val="28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8"/>
              <w:szCs w:val="28"/>
              <w:highlight w:val="none"/>
            </w:rPr>
            <w:t>(一) 工作情况</w:t>
          </w:r>
          <w:r>
            <w:rPr>
              <w:rFonts w:hint="eastAsia" w:ascii="宋体" w:hAnsi="宋体" w:eastAsia="宋体" w:cs="宋体"/>
              <w:b w:val="0"/>
              <w:bCs w:val="0"/>
              <w:sz w:val="28"/>
              <w:szCs w:val="28"/>
              <w:highlight w:val="none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8"/>
              <w:szCs w:val="28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8"/>
              <w:szCs w:val="28"/>
              <w:highlight w:val="none"/>
            </w:rPr>
            <w:instrText xml:space="preserve"> PAGEREF _Toc27787 \h </w:instrText>
          </w:r>
          <w:r>
            <w:rPr>
              <w:rFonts w:hint="eastAsia" w:ascii="宋体" w:hAnsi="宋体" w:eastAsia="宋体" w:cs="宋体"/>
              <w:b w:val="0"/>
              <w:bCs w:val="0"/>
              <w:sz w:val="28"/>
              <w:szCs w:val="28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8"/>
              <w:szCs w:val="28"/>
              <w:highlight w:val="none"/>
            </w:rPr>
            <w:t>1</w:t>
          </w:r>
          <w:r>
            <w:rPr>
              <w:rFonts w:hint="eastAsia" w:ascii="宋体" w:hAnsi="宋体" w:eastAsia="宋体" w:cs="宋体"/>
              <w:b w:val="0"/>
              <w:bCs w:val="0"/>
              <w:sz w:val="28"/>
              <w:szCs w:val="28"/>
              <w:highlight w:val="none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8"/>
              <w:szCs w:val="28"/>
              <w:highlight w:val="none"/>
            </w:rPr>
            <w:fldChar w:fldCharType="end"/>
          </w:r>
        </w:p>
        <w:p>
          <w:pPr>
            <w:pStyle w:val="42"/>
            <w:tabs>
              <w:tab w:val="right" w:leader="dot" w:pos="8306"/>
            </w:tabs>
            <w:rPr>
              <w:rFonts w:hint="eastAsia" w:ascii="宋体" w:hAnsi="宋体" w:eastAsia="宋体" w:cs="宋体"/>
              <w:b/>
              <w:bCs/>
              <w:sz w:val="28"/>
              <w:szCs w:val="28"/>
              <w:highlight w:val="none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8"/>
              <w:szCs w:val="28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8"/>
              <w:szCs w:val="28"/>
              <w:highlight w:val="none"/>
            </w:rPr>
            <w:instrText xml:space="preserve"> HYPERLINK \l _Toc18230 </w:instrText>
          </w:r>
          <w:r>
            <w:rPr>
              <w:rFonts w:hint="eastAsia" w:ascii="宋体" w:hAnsi="宋体" w:eastAsia="宋体" w:cs="宋体"/>
              <w:b w:val="0"/>
              <w:bCs w:val="0"/>
              <w:sz w:val="28"/>
              <w:szCs w:val="28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8"/>
              <w:szCs w:val="28"/>
              <w:highlight w:val="none"/>
            </w:rPr>
            <w:t>(二) 绩效评价结论</w:t>
          </w:r>
          <w:r>
            <w:rPr>
              <w:rFonts w:hint="eastAsia" w:ascii="宋体" w:hAnsi="宋体" w:eastAsia="宋体" w:cs="宋体"/>
              <w:b w:val="0"/>
              <w:bCs w:val="0"/>
              <w:sz w:val="28"/>
              <w:szCs w:val="28"/>
              <w:highlight w:val="none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8"/>
              <w:szCs w:val="28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8"/>
              <w:szCs w:val="28"/>
              <w:highlight w:val="none"/>
            </w:rPr>
            <w:instrText xml:space="preserve"> PAGEREF _Toc18230 \h </w:instrText>
          </w:r>
          <w:r>
            <w:rPr>
              <w:rFonts w:hint="eastAsia" w:ascii="宋体" w:hAnsi="宋体" w:eastAsia="宋体" w:cs="宋体"/>
              <w:b w:val="0"/>
              <w:bCs w:val="0"/>
              <w:sz w:val="28"/>
              <w:szCs w:val="28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8"/>
              <w:szCs w:val="28"/>
              <w:highlight w:val="none"/>
            </w:rPr>
            <w:t>2</w:t>
          </w:r>
          <w:r>
            <w:rPr>
              <w:rFonts w:hint="eastAsia" w:ascii="宋体" w:hAnsi="宋体" w:eastAsia="宋体" w:cs="宋体"/>
              <w:b w:val="0"/>
              <w:bCs w:val="0"/>
              <w:sz w:val="28"/>
              <w:szCs w:val="28"/>
              <w:highlight w:val="none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8"/>
              <w:szCs w:val="28"/>
              <w:highlight w:val="none"/>
            </w:rPr>
            <w:fldChar w:fldCharType="end"/>
          </w:r>
        </w:p>
        <w:p>
          <w:pPr>
            <w:pStyle w:val="41"/>
            <w:tabs>
              <w:tab w:val="right" w:leader="dot" w:pos="8306"/>
            </w:tabs>
            <w:rPr>
              <w:rFonts w:hint="eastAsia" w:ascii="宋体" w:hAnsi="宋体" w:eastAsia="宋体" w:cs="宋体"/>
              <w:b/>
              <w:bCs/>
              <w:sz w:val="28"/>
              <w:szCs w:val="28"/>
              <w:highlight w:val="none"/>
            </w:rPr>
          </w:pPr>
          <w:r>
            <w:rPr>
              <w:rFonts w:hint="eastAsia" w:ascii="宋体" w:hAnsi="宋体" w:eastAsia="宋体" w:cs="宋体"/>
              <w:b/>
              <w:bCs/>
              <w:sz w:val="28"/>
              <w:szCs w:val="28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  <w:highlight w:val="none"/>
            </w:rPr>
            <w:instrText xml:space="preserve"> HYPERLINK \l _Toc26677 </w:instrTex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  <w:highlight w:val="none"/>
              <w:lang w:val="en-US" w:eastAsia="zh-CN"/>
            </w:rPr>
            <w:t>二</w: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  <w:highlight w:val="none"/>
            </w:rPr>
            <w:t>、主要问题及具体建议</w: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  <w:highlight w:val="none"/>
            </w:rPr>
            <w:tab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  <w:highlight w:val="none"/>
            </w:rPr>
            <w:instrText xml:space="preserve"> PAGEREF _Toc26677 \h </w:instrTex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  <w:highlight w:val="none"/>
            </w:rPr>
            <w:t>3</w: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  <w:highlight w:val="none"/>
            </w:rPr>
            <w:fldChar w:fldCharType="end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  <w:highlight w:val="none"/>
            </w:rPr>
            <w:fldChar w:fldCharType="end"/>
          </w:r>
        </w:p>
        <w:p>
          <w:pPr>
            <w:pStyle w:val="42"/>
            <w:tabs>
              <w:tab w:val="right" w:leader="dot" w:pos="8306"/>
            </w:tabs>
            <w:rPr>
              <w:rFonts w:hint="eastAsia" w:ascii="宋体" w:hAnsi="宋体" w:eastAsia="宋体" w:cs="宋体"/>
              <w:b w:val="0"/>
              <w:bCs w:val="0"/>
              <w:sz w:val="28"/>
              <w:szCs w:val="28"/>
              <w:highlight w:val="none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8"/>
              <w:szCs w:val="28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8"/>
              <w:szCs w:val="28"/>
              <w:highlight w:val="none"/>
            </w:rPr>
            <w:instrText xml:space="preserve"> HYPERLINK \l _Toc1829 </w:instrText>
          </w:r>
          <w:r>
            <w:rPr>
              <w:rFonts w:hint="eastAsia" w:ascii="宋体" w:hAnsi="宋体" w:eastAsia="宋体" w:cs="宋体"/>
              <w:b w:val="0"/>
              <w:bCs w:val="0"/>
              <w:sz w:val="28"/>
              <w:szCs w:val="28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8"/>
              <w:szCs w:val="28"/>
              <w:highlight w:val="none"/>
            </w:rPr>
            <w:t>（一）存在的问题</w:t>
          </w:r>
          <w:r>
            <w:rPr>
              <w:rFonts w:hint="eastAsia" w:ascii="宋体" w:hAnsi="宋体" w:eastAsia="宋体" w:cs="宋体"/>
              <w:b w:val="0"/>
              <w:bCs w:val="0"/>
              <w:sz w:val="28"/>
              <w:szCs w:val="28"/>
              <w:highlight w:val="none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8"/>
              <w:szCs w:val="28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8"/>
              <w:szCs w:val="28"/>
              <w:highlight w:val="none"/>
            </w:rPr>
            <w:instrText xml:space="preserve"> PAGEREF _Toc1829 \h </w:instrText>
          </w:r>
          <w:r>
            <w:rPr>
              <w:rFonts w:hint="eastAsia" w:ascii="宋体" w:hAnsi="宋体" w:eastAsia="宋体" w:cs="宋体"/>
              <w:b w:val="0"/>
              <w:bCs w:val="0"/>
              <w:sz w:val="28"/>
              <w:szCs w:val="28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8"/>
              <w:szCs w:val="28"/>
              <w:highlight w:val="none"/>
            </w:rPr>
            <w:t>3</w:t>
          </w:r>
          <w:r>
            <w:rPr>
              <w:rFonts w:hint="eastAsia" w:ascii="宋体" w:hAnsi="宋体" w:eastAsia="宋体" w:cs="宋体"/>
              <w:b w:val="0"/>
              <w:bCs w:val="0"/>
              <w:sz w:val="28"/>
              <w:szCs w:val="28"/>
              <w:highlight w:val="none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8"/>
              <w:szCs w:val="28"/>
              <w:highlight w:val="none"/>
            </w:rPr>
            <w:fldChar w:fldCharType="end"/>
          </w:r>
        </w:p>
        <w:p>
          <w:pPr>
            <w:pStyle w:val="42"/>
            <w:tabs>
              <w:tab w:val="right" w:leader="dot" w:pos="8306"/>
            </w:tabs>
            <w:rPr>
              <w:rFonts w:hint="eastAsia" w:ascii="宋体" w:hAnsi="宋体" w:eastAsia="宋体" w:cs="宋体"/>
              <w:b/>
              <w:bCs/>
              <w:sz w:val="28"/>
              <w:szCs w:val="28"/>
              <w:highlight w:val="none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8"/>
              <w:szCs w:val="28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8"/>
              <w:szCs w:val="28"/>
              <w:highlight w:val="none"/>
            </w:rPr>
            <w:instrText xml:space="preserve"> HYPERLINK \l _Toc9659 </w:instrText>
          </w:r>
          <w:r>
            <w:rPr>
              <w:rFonts w:hint="eastAsia" w:ascii="宋体" w:hAnsi="宋体" w:eastAsia="宋体" w:cs="宋体"/>
              <w:b w:val="0"/>
              <w:bCs w:val="0"/>
              <w:sz w:val="28"/>
              <w:szCs w:val="28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8"/>
              <w:szCs w:val="28"/>
              <w:highlight w:val="none"/>
              <w:lang w:val="en-US" w:eastAsia="zh-CN"/>
            </w:rPr>
            <w:t>（二）相关措施与建议</w:t>
          </w:r>
          <w:r>
            <w:rPr>
              <w:rFonts w:hint="eastAsia" w:ascii="宋体" w:hAnsi="宋体" w:eastAsia="宋体" w:cs="宋体"/>
              <w:b w:val="0"/>
              <w:bCs w:val="0"/>
              <w:sz w:val="28"/>
              <w:szCs w:val="28"/>
              <w:highlight w:val="none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8"/>
              <w:szCs w:val="28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8"/>
              <w:szCs w:val="28"/>
              <w:highlight w:val="none"/>
            </w:rPr>
            <w:instrText xml:space="preserve"> PAGEREF _Toc9659 \h </w:instrText>
          </w:r>
          <w:r>
            <w:rPr>
              <w:rFonts w:hint="eastAsia" w:ascii="宋体" w:hAnsi="宋体" w:eastAsia="宋体" w:cs="宋体"/>
              <w:b w:val="0"/>
              <w:bCs w:val="0"/>
              <w:sz w:val="28"/>
              <w:szCs w:val="28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8"/>
              <w:szCs w:val="28"/>
              <w:highlight w:val="none"/>
            </w:rPr>
            <w:t>5</w:t>
          </w:r>
          <w:r>
            <w:rPr>
              <w:rFonts w:hint="eastAsia" w:ascii="宋体" w:hAnsi="宋体" w:eastAsia="宋体" w:cs="宋体"/>
              <w:b w:val="0"/>
              <w:bCs w:val="0"/>
              <w:sz w:val="28"/>
              <w:szCs w:val="28"/>
              <w:highlight w:val="none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8"/>
              <w:szCs w:val="28"/>
              <w:highlight w:val="none"/>
            </w:rPr>
            <w:fldChar w:fldCharType="end"/>
          </w:r>
        </w:p>
        <w:p>
          <w:pPr>
            <w:pStyle w:val="9"/>
            <w:rPr>
              <w:highlight w:val="none"/>
            </w:rPr>
          </w:pPr>
          <w:r>
            <w:rPr>
              <w:rFonts w:hint="eastAsia" w:ascii="宋体" w:hAnsi="宋体" w:eastAsia="宋体" w:cs="宋体"/>
              <w:b/>
              <w:bCs/>
              <w:sz w:val="28"/>
              <w:szCs w:val="28"/>
              <w:highlight w:val="none"/>
            </w:rPr>
            <w:fldChar w:fldCharType="end"/>
          </w:r>
        </w:p>
      </w:sdtContent>
    </w:sdt>
    <w:p>
      <w:pPr>
        <w:pStyle w:val="9"/>
        <w:rPr>
          <w:highlight w:val="none"/>
        </w:rPr>
      </w:pPr>
    </w:p>
    <w:p>
      <w:pPr>
        <w:spacing w:line="600" w:lineRule="exact"/>
        <w:jc w:val="center"/>
        <w:rPr>
          <w:rFonts w:eastAsia="方正小标宋_GBK"/>
          <w:bCs/>
          <w:sz w:val="44"/>
          <w:szCs w:val="36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outlineLvl w:val="0"/>
        <w:rPr>
          <w:rFonts w:eastAsia="方正小标宋_GBK"/>
          <w:bCs/>
          <w:sz w:val="44"/>
          <w:szCs w:val="36"/>
          <w:highlight w:val="none"/>
        </w:rPr>
      </w:pPr>
      <w:bookmarkStart w:id="0" w:name="_Toc32236"/>
      <w:r>
        <w:rPr>
          <w:rFonts w:hint="eastAsia" w:eastAsia="方正小标宋_GBK"/>
          <w:bCs/>
          <w:sz w:val="44"/>
          <w:szCs w:val="36"/>
          <w:highlight w:val="none"/>
        </w:rPr>
        <w:t>林芝市直各预算单位2</w:t>
      </w:r>
      <w:r>
        <w:rPr>
          <w:rFonts w:eastAsia="方正小标宋_GBK"/>
          <w:bCs/>
          <w:sz w:val="44"/>
          <w:szCs w:val="36"/>
          <w:highlight w:val="none"/>
        </w:rPr>
        <w:t>02</w:t>
      </w:r>
      <w:r>
        <w:rPr>
          <w:rFonts w:hint="eastAsia" w:eastAsia="方正小标宋_GBK"/>
          <w:bCs/>
          <w:sz w:val="44"/>
          <w:szCs w:val="36"/>
          <w:highlight w:val="none"/>
          <w:lang w:val="en-US" w:eastAsia="zh-CN"/>
        </w:rPr>
        <w:t>2</w:t>
      </w:r>
      <w:r>
        <w:rPr>
          <w:rFonts w:hint="eastAsia" w:eastAsia="方正小标宋_GBK"/>
          <w:bCs/>
          <w:sz w:val="44"/>
          <w:szCs w:val="36"/>
          <w:highlight w:val="none"/>
        </w:rPr>
        <w:t>年度</w:t>
      </w:r>
      <w:bookmarkEnd w:id="0"/>
    </w:p>
    <w:p>
      <w:pPr>
        <w:spacing w:line="600" w:lineRule="exact"/>
        <w:jc w:val="center"/>
        <w:outlineLvl w:val="0"/>
        <w:rPr>
          <w:rFonts w:eastAsia="方正小标宋_GBK"/>
          <w:bCs/>
          <w:sz w:val="44"/>
          <w:szCs w:val="36"/>
          <w:highlight w:val="none"/>
        </w:rPr>
      </w:pPr>
      <w:bookmarkStart w:id="1" w:name="_Toc4889"/>
      <w:r>
        <w:rPr>
          <w:rFonts w:eastAsia="方正小标宋_GBK"/>
          <w:bCs/>
          <w:sz w:val="44"/>
          <w:szCs w:val="36"/>
          <w:highlight w:val="none"/>
        </w:rPr>
        <w:t>绩效</w:t>
      </w:r>
      <w:r>
        <w:rPr>
          <w:rFonts w:hint="eastAsia" w:eastAsia="方正小标宋_GBK"/>
          <w:bCs/>
          <w:sz w:val="44"/>
          <w:szCs w:val="36"/>
          <w:highlight w:val="none"/>
          <w:lang w:val="en-US" w:eastAsia="zh-CN"/>
        </w:rPr>
        <w:t>运行监控</w:t>
      </w:r>
      <w:r>
        <w:rPr>
          <w:rFonts w:hint="eastAsia" w:eastAsia="方正小标宋_GBK"/>
          <w:bCs/>
          <w:sz w:val="44"/>
          <w:szCs w:val="36"/>
          <w:highlight w:val="none"/>
        </w:rPr>
        <w:t>汇总</w:t>
      </w:r>
      <w:r>
        <w:rPr>
          <w:rFonts w:eastAsia="方正小标宋_GBK"/>
          <w:bCs/>
          <w:sz w:val="44"/>
          <w:szCs w:val="36"/>
          <w:highlight w:val="none"/>
        </w:rPr>
        <w:t>报告</w:t>
      </w:r>
      <w:bookmarkEnd w:id="1"/>
    </w:p>
    <w:p>
      <w:pPr>
        <w:pStyle w:val="4"/>
        <w:spacing w:before="312" w:beforeLines="100" w:line="560" w:lineRule="exact"/>
        <w:ind w:left="0" w:leftChars="0" w:firstLine="0" w:firstLineChars="0"/>
        <w:jc w:val="right"/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sz w:val="28"/>
          <w:highlight w:val="none"/>
        </w:rPr>
        <w:t>藏卓然天成绩评字【2022】第00</w:t>
      </w:r>
      <w:r>
        <w:rPr>
          <w:rFonts w:hint="eastAsia" w:ascii="宋体" w:hAnsi="宋体" w:eastAsia="宋体"/>
          <w:sz w:val="28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sz w:val="28"/>
          <w:highlight w:val="none"/>
        </w:rPr>
        <w:t>号</w:t>
      </w:r>
    </w:p>
    <w:p>
      <w:pPr>
        <w:pStyle w:val="2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</w:p>
    <w:p>
      <w:pPr>
        <w:pStyle w:val="2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-SA"/>
        </w:rPr>
        <w:t>林芝市财政局：</w:t>
      </w:r>
    </w:p>
    <w:p>
      <w:pPr>
        <w:pStyle w:val="4"/>
        <w:spacing w:before="240" w:beforeLines="100" w:line="560" w:lineRule="exact"/>
        <w:ind w:firstLine="56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按照西藏自治区</w:t>
      </w:r>
      <w:bookmarkStart w:id="2" w:name="_Hlk111214166"/>
      <w:r>
        <w:rPr>
          <w:rFonts w:hint="eastAsia" w:ascii="仿宋" w:hAnsi="仿宋" w:eastAsia="仿宋" w:cs="仿宋"/>
          <w:sz w:val="32"/>
          <w:szCs w:val="32"/>
          <w:highlight w:val="none"/>
        </w:rPr>
        <w:t>《西藏自治区财政支出预算绩效评价管理暂行办法》（藏财预字〔2017〕89号）</w:t>
      </w:r>
      <w:bookmarkEnd w:id="2"/>
      <w:r>
        <w:rPr>
          <w:rFonts w:hint="eastAsia" w:ascii="仿宋" w:hAnsi="仿宋" w:eastAsia="仿宋" w:cs="仿宋"/>
          <w:sz w:val="32"/>
          <w:szCs w:val="32"/>
          <w:highlight w:val="none"/>
        </w:rPr>
        <w:t>、《项目支出绩效评价管理办法》（财预〔2020〕10号）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以及《林芝市财政局关于开展202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年度部门整体支出、重点项目支出及2022年部门绩效监控等绩效评价工作的通知》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林财监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/>
        </w:rPr>
        <w:t>〔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/>
        </w:rPr>
        <w:t>2〕39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号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，我们接受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/>
        </w:rPr>
        <w:t>林芝市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财政局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/>
        </w:rPr>
        <w:t>以下简称“市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财政局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/>
        </w:rPr>
        <w:t>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委托，于202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/>
        </w:rPr>
        <w:t>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月26日至202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/>
        </w:rPr>
        <w:t>11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/>
        </w:rPr>
        <w:t>15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日对林芝市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市直预算单位开展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2022年1-6月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绩效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运行监控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，绩效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监控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工作已完成，现将绩效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监控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工作相关情况汇报如下： 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bookmarkStart w:id="3" w:name="_Toc15544460"/>
      <w:bookmarkEnd w:id="3"/>
      <w:bookmarkStart w:id="4" w:name="_Toc16602034"/>
      <w:bookmarkEnd w:id="4"/>
      <w:bookmarkStart w:id="5" w:name="_Toc15545162"/>
      <w:bookmarkEnd w:id="5"/>
      <w:bookmarkStart w:id="6" w:name="_Toc16261793"/>
      <w:bookmarkEnd w:id="6"/>
      <w:bookmarkStart w:id="7" w:name="_Toc15545197"/>
      <w:bookmarkEnd w:id="7"/>
      <w:bookmarkStart w:id="8" w:name="_Toc16261841"/>
      <w:bookmarkEnd w:id="8"/>
      <w:bookmarkStart w:id="9" w:name="_Toc13809"/>
      <w:bookmarkStart w:id="10" w:name="_Toc1314"/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一、</w:t>
      </w:r>
      <w:bookmarkEnd w:id="9"/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基本情况</w:t>
      </w:r>
      <w:bookmarkEnd w:id="10"/>
    </w:p>
    <w:p>
      <w:pPr>
        <w:spacing w:line="560" w:lineRule="exact"/>
        <w:ind w:firstLine="640" w:firstLineChars="200"/>
        <w:outlineLvl w:val="1"/>
        <w:rPr>
          <w:rFonts w:hint="eastAsia" w:ascii="楷体" w:hAnsi="楷体" w:eastAsia="楷体" w:cs="楷体"/>
          <w:b w:val="0"/>
          <w:bCs/>
          <w:sz w:val="32"/>
          <w:szCs w:val="32"/>
          <w:highlight w:val="none"/>
        </w:rPr>
      </w:pPr>
      <w:bookmarkStart w:id="11" w:name="_Toc8569"/>
      <w:bookmarkStart w:id="12" w:name="_Toc27787"/>
      <w:r>
        <w:rPr>
          <w:rFonts w:hint="eastAsia" w:ascii="楷体" w:hAnsi="楷体" w:eastAsia="楷体" w:cs="楷体"/>
          <w:b w:val="0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  <w:highlight w:val="none"/>
        </w:rPr>
        <w:t>一</w:t>
      </w:r>
      <w:r>
        <w:rPr>
          <w:rFonts w:hint="eastAsia" w:ascii="楷体" w:hAnsi="楷体" w:eastAsia="楷体" w:cs="楷体"/>
          <w:b w:val="0"/>
          <w:bCs/>
          <w:sz w:val="32"/>
          <w:szCs w:val="32"/>
          <w:highlight w:val="none"/>
          <w:lang w:eastAsia="zh-CN"/>
        </w:rPr>
        <w:t>）</w:t>
      </w:r>
      <w:bookmarkEnd w:id="11"/>
      <w:r>
        <w:rPr>
          <w:rFonts w:hint="eastAsia" w:ascii="楷体" w:hAnsi="楷体" w:eastAsia="楷体" w:cs="楷体"/>
          <w:b w:val="0"/>
          <w:bCs/>
          <w:sz w:val="32"/>
          <w:szCs w:val="32"/>
          <w:highlight w:val="none"/>
        </w:rPr>
        <w:t xml:space="preserve"> 工作情况</w:t>
      </w:r>
      <w:bookmarkEnd w:id="12"/>
    </w:p>
    <w:p>
      <w:pPr>
        <w:numPr>
          <w:ilvl w:val="1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此次绩效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运行监控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为林芝市财政局委托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对82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家市直预算单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位202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年度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预算项目进行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绩效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运行监控，因林芝市国安办为涉密单位，所以不纳入此次绩效监控范围内。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本次绩效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运行监控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工作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包括：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前期准备、现场评价、报告撰写三个阶段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对收集的相关数据资料进行整理、汇总、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分析、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复核，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最终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形成绩效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运行监控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报告。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本次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绩效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运行监控由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我事务所选派注册会计师、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绩效评价师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等12名绩效评价专业人员，分为3组、每组4人进行绩效评价工作。</w:t>
      </w:r>
    </w:p>
    <w:p>
      <w:pPr>
        <w:numPr>
          <w:ilvl w:val="1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此次绩效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运行监控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工作得到了各单位（部门）的大力支持与全力配合。被评价单位按照要求，提交了绩效目标评价工作相关资料、较好地完成了陈述和解答工作，并配合我们现场查勘，核对确认资料等，为我们的绩效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运行监控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工作顺利完成提供了有力的支持。</w:t>
      </w:r>
    </w:p>
    <w:p>
      <w:pPr>
        <w:numPr>
          <w:ilvl w:val="1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此次绩效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运行监控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工作，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需要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审核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82家市直预算单位共计863个年初预算项目，其中：中期调减项目16个，涉密项目29个，纳入此次绩效运行监控范围内的预算项目共计818个。年初预算资金共计1,873,826,594.34元，中期调增预算60,477,501.07元，中期调减预算137,163,452.36元，调整后预算数1,797,140,643.05元，其中：一般公共预算1,434,643,633.85元、政府性基金预算362,386,509.20元、国有资本经营预算110,500.00元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详见《2022年度绩效运行监控预算资金汇总表》。</w:t>
      </w:r>
    </w:p>
    <w:p>
      <w:pPr>
        <w:spacing w:line="560" w:lineRule="exact"/>
        <w:ind w:firstLine="640" w:firstLineChars="200"/>
        <w:outlineLvl w:val="1"/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</w:rPr>
      </w:pPr>
      <w:bookmarkStart w:id="13" w:name="_Toc24677"/>
      <w:bookmarkStart w:id="14" w:name="_Toc18230"/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</w:rPr>
        <w:t>二</w:t>
      </w:r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  <w:lang w:eastAsia="zh-CN"/>
        </w:rPr>
        <w:t>）</w:t>
      </w:r>
      <w:bookmarkEnd w:id="13"/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</w:rPr>
        <w:t>绩效评价结论</w:t>
      </w:r>
      <w:bookmarkEnd w:id="14"/>
      <w:bookmarkStart w:id="15" w:name="_Toc4741"/>
    </w:p>
    <w:p>
      <w:pPr>
        <w:numPr>
          <w:ilvl w:val="1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此次开展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绩效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运行监控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工作，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82家市直预算单位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资金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使用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做到年初有计划、实施有方案、日常有监督、结果有审核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依据科学部署、统一管理、过程监督、有序推进的指导方针，对照绩效目标进行跟踪监控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绩效运行情况较为客观、真实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此次项目预算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zh-CN"/>
        </w:rPr>
        <w:t>绩效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运行监控复核结果与各市直预算单位自行填报完成值之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间存在差异，复核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结果可作为财政预算执行精细化、加快资金拨付进度及综合绩效考评的参考依据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纳入此次绩效运行监控范围内的预算项目共计817个，其中：已完成项目19个，涉及项目预算资金2,257,540.00元、预计年底可以完成的项目556个，涉及项目预算资金732,000,764.01元、预计年底不能完成的项目221个，涉及项目预算资金1,050,816,339.04元、无法预测年底是否完成（具有不确定性)的项目22个，涉及项目预算资金12,066,000.00元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详见《2022年度绩效运行监控项目完成统计表》。</w:t>
      </w:r>
    </w:p>
    <w:bookmarkEnd w:id="15"/>
    <w:p>
      <w:pPr>
        <w:numPr>
          <w:ilvl w:val="1"/>
          <w:numId w:val="0"/>
        </w:num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  <w:bookmarkStart w:id="16" w:name="_Toc26677"/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、主要问题及具体建议</w:t>
      </w:r>
      <w:bookmarkEnd w:id="16"/>
    </w:p>
    <w:p>
      <w:pPr>
        <w:numPr>
          <w:ilvl w:val="1"/>
          <w:numId w:val="0"/>
        </w:numPr>
        <w:spacing w:line="560" w:lineRule="exact"/>
        <w:ind w:firstLine="640" w:firstLineChars="200"/>
        <w:outlineLvl w:val="1"/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</w:rPr>
      </w:pPr>
      <w:bookmarkStart w:id="17" w:name="_Toc1829"/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</w:rPr>
        <w:t>（一）存在的问题</w:t>
      </w:r>
      <w:bookmarkEnd w:id="17"/>
    </w:p>
    <w:p>
      <w:pPr>
        <w:numPr>
          <w:ilvl w:val="1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未按照“一个项目一个绩效目标”的原则编制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绩效目标表。例如：部分单位2021年结转项目均未编制绩效目标表，无法有效进行绩效监控。林芝市农业农村局预算项目中“欠发达国有农场巩固提升补助项目”未</w:t>
      </w:r>
      <w:r>
        <w:rPr>
          <w:rFonts w:hint="eastAsia" w:ascii="仿宋" w:hAnsi="仿宋" w:eastAsia="仿宋" w:cs="仿宋"/>
          <w:bCs/>
          <w:kern w:val="2"/>
          <w:sz w:val="32"/>
          <w:szCs w:val="32"/>
          <w:highlight w:val="none"/>
          <w:lang w:val="en-US" w:eastAsia="zh-CN" w:bidi="ar-SA"/>
        </w:rPr>
        <w:t>编制绩效目标表；</w:t>
      </w:r>
    </w:p>
    <w:p>
      <w:pPr>
        <w:numPr>
          <w:ilvl w:val="1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2.项目运行绩效监控表中年初指标设定不规范。指标内容未填写完整，未按照项目产出指标、效益指标、满意度指标的要求填写，不利于绩效考核，例如：市城管局；</w:t>
      </w:r>
    </w:p>
    <w:p>
      <w:pPr>
        <w:numPr>
          <w:ilvl w:val="1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部分项目二级指标与三级指标之间不存在逻辑关系，未对二级指标进行拆解，并出现绩效指标与项目年度目标不符的情况，例如：市统计局“党建经费”；</w:t>
      </w:r>
    </w:p>
    <w:p>
      <w:pPr>
        <w:numPr>
          <w:ilvl w:val="1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3.绩效指标值设置不规范。绩效目标指标值设置过低，不能整体性地反映预算项目的具体特点，导致目标填报流于形式，例如：市委办、市审计局；</w:t>
      </w:r>
    </w:p>
    <w:p>
      <w:pPr>
        <w:numPr>
          <w:ilvl w:val="1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4.项目绩效监控完成值填报不规范。部分项目的完成值均按照项目预算执行进度填写，或者按照年初目标值填写，完成率为100.00%，均未按项目实际完成目标情况填报，致使项目绩效运行监控失效，例如：市图书馆、市地震局；</w:t>
      </w:r>
    </w:p>
    <w:p>
      <w:pPr>
        <w:numPr>
          <w:ilvl w:val="1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5.项目执行率过低，未达到序时进度。部分项目的预算执行率较低，未按照年初计划实施，导致部门整体执行率较低，例如：市发改委2022年预算项目共22个，其中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“十四五”规划印刷费等11个项目截止2022年6月30日未发生支出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；</w:t>
      </w:r>
    </w:p>
    <w:p>
      <w:pPr>
        <w:numPr>
          <w:ilvl w:val="1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6.会计基础工作不规范。部分支出未及时记账，根据查看各预算单位的项目明细账，发现部分单位未按照实际支出及时、逐笔记账，明细账支出数与可执行指标执行情况表中截至2022年6月30日的支出数不符，存在2022年项目未记账或漏记账的现象，例如：职校、政府办等23家单位；</w:t>
      </w:r>
    </w:p>
    <w:p>
      <w:pPr>
        <w:numPr>
          <w:ilvl w:val="1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u w:val="none"/>
          <w:lang w:val="en-US" w:eastAsia="zh-CN"/>
        </w:rPr>
        <w:t>7.存在指标混淆使用的现象。例如：林芝国有资产监督管理委员会2022年6月21日支付5月生育保险2,963.39元，该笔支出从业务经费中列支，保险应从基本支出中列支，指标混淆使用；</w:t>
      </w:r>
    </w:p>
    <w:p>
      <w:pPr>
        <w:numPr>
          <w:ilvl w:val="1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8.账务处理不规范。记账科目错误，经查看市应急管理局的项目明细账，发现短信平台、光纤使用及举报奖励资金项目明细账中有一笔支出：应急救援直升机机载电话流量卡费用支出3,472.00元，属于航空应急救援地面保障经费项目；制式服装费项目明细账中有一笔支出：临时停机坪网围栏筛网费用支出14,825.00元，属于航空应急救援地面保障经费项目，以上两笔支出记账科目选择错误；</w:t>
      </w:r>
    </w:p>
    <w:p>
      <w:pPr>
        <w:numPr>
          <w:ilvl w:val="1"/>
          <w:numId w:val="0"/>
        </w:numPr>
        <w:spacing w:line="560" w:lineRule="exact"/>
        <w:ind w:firstLine="640" w:firstLineChars="200"/>
        <w:outlineLvl w:val="1"/>
        <w:rPr>
          <w:rFonts w:hint="eastAsia" w:ascii="楷体" w:hAnsi="楷体" w:eastAsia="楷体" w:cs="楷体"/>
          <w:bCs/>
          <w:sz w:val="32"/>
          <w:szCs w:val="32"/>
          <w:highlight w:val="none"/>
          <w:lang w:val="en-US" w:eastAsia="zh-CN"/>
        </w:rPr>
      </w:pPr>
      <w:bookmarkStart w:id="18" w:name="_Toc9659"/>
      <w:r>
        <w:rPr>
          <w:rFonts w:hint="eastAsia" w:ascii="楷体" w:hAnsi="楷体" w:eastAsia="楷体" w:cs="楷体"/>
          <w:bCs/>
          <w:sz w:val="32"/>
          <w:szCs w:val="32"/>
          <w:highlight w:val="none"/>
          <w:lang w:val="en-US" w:eastAsia="zh-CN"/>
        </w:rPr>
        <w:t>（二）相关措施与建议</w:t>
      </w:r>
      <w:bookmarkEnd w:id="18"/>
    </w:p>
    <w:p>
      <w:pPr>
        <w:numPr>
          <w:ilvl w:val="1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1.此次绩效监控范围内预计年底不能完成的项目221个，涉及项目预算资金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1,050,816,339.04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元，建议财政部门应当对年底不能完成的项目进行预算调减，并作为对下年度预算申报审核的参考依据；</w:t>
      </w:r>
    </w:p>
    <w:p>
      <w:pPr>
        <w:numPr>
          <w:ilvl w:val="1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2.进行建议市直预算单位加大项目督导力度。对于执行进度较低的项目应督促各科室尽快实施项目，制定项目时间计划表，加强调度督导，进一步压实工作责任，加快项目进度，不断提高预算的执行度，使资金充分发挥使用效益，并督促总结经验做法，加快形成示范效应；</w:t>
      </w:r>
    </w:p>
    <w:p>
      <w:pPr>
        <w:numPr>
          <w:ilvl w:val="1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3.加强预算编制。一是加强项目绩效目标编制管理，提高项目绩效目标编制水平，进一步完善预算绩效目标设定，细化、量化预算绩效指标；二是加强项目年初预算编制管理工作，根据项目预期进度、单位实际情况以及上年度预算执行情况合理编制预算，提高预算编制的准确性、科学性；</w:t>
      </w:r>
    </w:p>
    <w:p>
      <w:pPr>
        <w:numPr>
          <w:ilvl w:val="1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4.加强预算绩效管理工作。加强对预算绩效管理工作的重视，落实部门预算绩效管理主体责任，加强各个部门之间的沟通配合度，完善绩效管理制度；</w:t>
      </w:r>
    </w:p>
    <w:p>
      <w:pPr>
        <w:numPr>
          <w:ilvl w:val="1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5.加强会计基础工作。加强对预算一体化系统地学习，对于收入、支出要及时入账，保证财务资料的准确性、完整性；加强对财务工作的重视，规范会计工作，不断提高财务人员的业务水平，严格执行《政府会计准则》相关的规定，日常经济事项的核算，根据性质按照制度要求进行账务处理，科目运用正确，依据完整、真实的原始凭证及时入账。</w:t>
      </w:r>
    </w:p>
    <w:p>
      <w:pPr>
        <w:pStyle w:val="2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numPr>
          <w:ilvl w:val="1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（此页无正文）</w:t>
      </w:r>
    </w:p>
    <w:p>
      <w:pPr>
        <w:pStyle w:val="2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</w:p>
    <w:p>
      <w:pPr>
        <w:numPr>
          <w:ilvl w:val="1"/>
          <w:numId w:val="0"/>
        </w:numPr>
        <w:spacing w:line="560" w:lineRule="exact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附件：</w:t>
      </w:r>
    </w:p>
    <w:p>
      <w:pPr>
        <w:numPr>
          <w:ilvl w:val="1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1、2022年度绩效运行监控预算资金汇总表</w:t>
      </w:r>
    </w:p>
    <w:p>
      <w:pPr>
        <w:numPr>
          <w:ilvl w:val="1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2、2022年度绩效运行监控项目完成统计表</w:t>
      </w:r>
    </w:p>
    <w:p>
      <w:pPr>
        <w:numPr>
          <w:ilvl w:val="1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3、营业执照复印件</w:t>
      </w:r>
    </w:p>
    <w:p>
      <w:pPr>
        <w:numPr>
          <w:ilvl w:val="1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4、执业证书复印件</w:t>
      </w:r>
    </w:p>
    <w:p>
      <w:pPr>
        <w:numPr>
          <w:ilvl w:val="1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5、注册会计师职业资格证复印件</w:t>
      </w:r>
    </w:p>
    <w:p>
      <w:pPr>
        <w:numPr>
          <w:ilvl w:val="1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</w:p>
    <w:p>
      <w:pPr>
        <w:numPr>
          <w:ilvl w:val="1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</w:p>
    <w:p>
      <w:pPr>
        <w:numPr>
          <w:ilvl w:val="1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西藏卓然天成会计师事务所           中国注册会计师：</w:t>
      </w:r>
    </w:p>
    <w:p>
      <w:pPr>
        <w:numPr>
          <w:ilvl w:val="1"/>
          <w:numId w:val="0"/>
        </w:numPr>
        <w:spacing w:line="560" w:lineRule="exact"/>
        <w:ind w:firstLine="1280" w:firstLineChars="40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（普通合伙）</w:t>
      </w:r>
    </w:p>
    <w:p>
      <w:pPr>
        <w:numPr>
          <w:ilvl w:val="1"/>
          <w:numId w:val="0"/>
        </w:numPr>
        <w:spacing w:line="560" w:lineRule="exact"/>
        <w:ind w:firstLine="1600" w:firstLineChars="50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中国●拉萨                   中国注册会计师：</w:t>
      </w:r>
    </w:p>
    <w:p>
      <w:pPr>
        <w:numPr>
          <w:ilvl w:val="1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                                   </w:t>
      </w:r>
    </w:p>
    <w:p>
      <w:pPr>
        <w:numPr>
          <w:ilvl w:val="1"/>
          <w:numId w:val="0"/>
        </w:numPr>
        <w:spacing w:line="560" w:lineRule="exact"/>
        <w:ind w:firstLine="840" w:firstLineChars="300"/>
        <w:jc w:val="right"/>
        <w:rPr>
          <w:rFonts w:hint="eastAsia" w:ascii="仿宋" w:hAnsi="仿宋" w:eastAsia="仿宋" w:cs="仿宋"/>
          <w:bCs/>
          <w:sz w:val="32"/>
          <w:szCs w:val="32"/>
          <w:highlight w:val="yellow"/>
          <w:lang w:val="en-US" w:eastAsia="zh-CN"/>
        </w:rPr>
      </w:pPr>
      <w:r>
        <w:rPr>
          <w:rFonts w:hint="eastAsia" w:ascii="宋体" w:hAnsi="宋体" w:cs="Times New Roman"/>
          <w:bCs/>
          <w:sz w:val="28"/>
          <w:szCs w:val="28"/>
          <w:highlight w:val="none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 二〇二二年十二月</w:t>
      </w:r>
    </w:p>
    <w:p>
      <w:pPr>
        <w:numPr>
          <w:ilvl w:val="1"/>
          <w:numId w:val="0"/>
        </w:numPr>
        <w:spacing w:line="560" w:lineRule="exact"/>
        <w:ind w:firstLine="640" w:firstLineChars="200"/>
        <w:rPr>
          <w:rFonts w:hint="default" w:ascii="宋体" w:hAnsi="宋体" w:cs="Times New Roman"/>
          <w:bCs/>
          <w:sz w:val="32"/>
          <w:szCs w:val="32"/>
          <w:highlight w:val="none"/>
          <w:lang w:val="en-US" w:eastAsia="zh-CN"/>
        </w:rPr>
      </w:pPr>
    </w:p>
    <w:sectPr>
      <w:footerReference r:id="rId4" w:type="default"/>
      <w:pgSz w:w="11906" w:h="16838"/>
      <w:pgMar w:top="2098" w:right="1474" w:bottom="1984" w:left="1587" w:header="851" w:footer="1417" w:gutter="0"/>
      <w:pgNumType w:fmt="decimal"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406F96-0BFD-4FB3-B5B0-F7A6013202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CA41A7F2-3C79-49E9-B314-A4301CD26276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FA6B7F0-918E-4FCC-800C-3F9FF965D7FB}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4" w:fontKey="{76FD4CEB-C088-4CA3-968D-4EE627180DF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06C51AD-8153-43BE-99A4-F3F7816A6FA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1BE1CD15-904E-4345-B9A7-61D763C36E3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0671B8"/>
    <w:multiLevelType w:val="multilevel"/>
    <w:tmpl w:val="610671B8"/>
    <w:lvl w:ilvl="0" w:tentative="0">
      <w:start w:val="1"/>
      <w:numFmt w:val="chineseCountingThousand"/>
      <w:pStyle w:val="3"/>
      <w:suff w:val="nothing"/>
      <w:lvlText w:val="%1、"/>
      <w:lvlJc w:val="left"/>
      <w:pPr>
        <w:ind w:left="851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lang w:val="zh-CN" w:eastAsia="zh-CN"/>
      </w:rPr>
    </w:lvl>
    <w:lvl w:ilvl="1" w:tentative="0">
      <w:start w:val="1"/>
      <w:numFmt w:val="chineseCountingThousand"/>
      <w:pStyle w:val="5"/>
      <w:suff w:val="nothing"/>
      <w:lvlText w:val="（%2）"/>
      <w:lvlJc w:val="left"/>
      <w:pPr>
        <w:ind w:left="993" w:hanging="567"/>
      </w:pPr>
      <w:rPr>
        <w:rFonts w:hint="eastAsia"/>
        <w:lang w:val="zh-CN"/>
      </w:rPr>
    </w:lvl>
    <w:lvl w:ilvl="2" w:tentative="0">
      <w:start w:val="1"/>
      <w:numFmt w:val="decimal"/>
      <w:pStyle w:val="6"/>
      <w:suff w:val="nothing"/>
      <w:lvlText w:val="%3. "/>
      <w:lvlJc w:val="left"/>
      <w:pPr>
        <w:ind w:left="993" w:hanging="567"/>
      </w:pPr>
      <w:rPr>
        <w:rFonts w:hint="eastAsia"/>
      </w:rPr>
    </w:lvl>
    <w:lvl w:ilvl="3" w:tentative="0">
      <w:start w:val="1"/>
      <w:numFmt w:val="decimal"/>
      <w:pStyle w:val="7"/>
      <w:suff w:val="nothing"/>
      <w:lvlText w:val="（%4）"/>
      <w:lvlJc w:val="left"/>
      <w:pPr>
        <w:ind w:left="992" w:hanging="425"/>
      </w:pPr>
      <w:rPr>
        <w:rFonts w:hint="eastAsia"/>
      </w:rPr>
    </w:lvl>
    <w:lvl w:ilvl="4" w:tentative="0">
      <w:start w:val="1"/>
      <w:numFmt w:val="decimal"/>
      <w:pStyle w:val="8"/>
      <w:suff w:val="nothing"/>
      <w:lvlText w:val="%5）"/>
      <w:lvlJc w:val="left"/>
      <w:pPr>
        <w:ind w:left="992" w:hanging="113"/>
      </w:pPr>
      <w:rPr>
        <w:rFonts w:hint="eastAsia"/>
      </w:rPr>
    </w:lvl>
    <w:lvl w:ilvl="5" w:tentative="0">
      <w:start w:val="1"/>
      <w:numFmt w:val="decimal"/>
      <w:pStyle w:val="31"/>
      <w:suff w:val="nothing"/>
      <w:lvlText w:val="附件%6 "/>
      <w:lvlJc w:val="left"/>
      <w:pPr>
        <w:ind w:left="0" w:firstLine="0"/>
      </w:pPr>
      <w:rPr>
        <w:rFonts w:hint="eastAsia"/>
        <w:lang w:val="en-US"/>
      </w:rPr>
    </w:lvl>
    <w:lvl w:ilvl="6" w:tentative="0">
      <w:start w:val="1"/>
      <w:numFmt w:val="chineseCountingThousand"/>
      <w:suff w:val="nothing"/>
      <w:lvlText w:val="%7、"/>
      <w:lvlJc w:val="left"/>
      <w:pPr>
        <w:ind w:left="992" w:hanging="567"/>
      </w:pPr>
      <w:rPr>
        <w:rFonts w:hint="eastAsia"/>
      </w:rPr>
    </w:lvl>
    <w:lvl w:ilvl="7" w:tentative="0">
      <w:start w:val="1"/>
      <w:numFmt w:val="chineseCountingThousand"/>
      <w:suff w:val="nothing"/>
      <w:lvlText w:val="（%8）"/>
      <w:lvlJc w:val="left"/>
      <w:pPr>
        <w:ind w:left="992" w:hanging="567"/>
      </w:pPr>
      <w:rPr>
        <w:rFonts w:hint="eastAsia"/>
      </w:rPr>
    </w:lvl>
    <w:lvl w:ilvl="8" w:tentative="0">
      <w:start w:val="1"/>
      <w:numFmt w:val="decimal"/>
      <w:suff w:val="nothing"/>
      <w:lvlText w:val="%9. "/>
      <w:lvlJc w:val="left"/>
      <w:pPr>
        <w:ind w:left="992" w:hanging="567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1NTI0MzdkNTRhODE5OTNkMWJkNDcxZGVmNDM2OWQifQ=="/>
  </w:docVars>
  <w:rsids>
    <w:rsidRoot w:val="000F423A"/>
    <w:rsid w:val="0001340C"/>
    <w:rsid w:val="0001733D"/>
    <w:rsid w:val="00023454"/>
    <w:rsid w:val="000258B3"/>
    <w:rsid w:val="00033E0B"/>
    <w:rsid w:val="0005136A"/>
    <w:rsid w:val="0005301B"/>
    <w:rsid w:val="000626AB"/>
    <w:rsid w:val="00066144"/>
    <w:rsid w:val="00076FCD"/>
    <w:rsid w:val="000778E5"/>
    <w:rsid w:val="00086A68"/>
    <w:rsid w:val="000C3E0E"/>
    <w:rsid w:val="000D3BCF"/>
    <w:rsid w:val="000E486D"/>
    <w:rsid w:val="000F423A"/>
    <w:rsid w:val="00102ADB"/>
    <w:rsid w:val="00103FB3"/>
    <w:rsid w:val="00110E27"/>
    <w:rsid w:val="00117A8C"/>
    <w:rsid w:val="001226DD"/>
    <w:rsid w:val="00123280"/>
    <w:rsid w:val="00140068"/>
    <w:rsid w:val="0014666C"/>
    <w:rsid w:val="001A1133"/>
    <w:rsid w:val="001B287A"/>
    <w:rsid w:val="001B35B0"/>
    <w:rsid w:val="001C045B"/>
    <w:rsid w:val="001C26F8"/>
    <w:rsid w:val="001C783F"/>
    <w:rsid w:val="001D3FC7"/>
    <w:rsid w:val="001D5BE8"/>
    <w:rsid w:val="001E5768"/>
    <w:rsid w:val="001E7650"/>
    <w:rsid w:val="001F4821"/>
    <w:rsid w:val="00202FD7"/>
    <w:rsid w:val="0021322D"/>
    <w:rsid w:val="00215C37"/>
    <w:rsid w:val="002221A0"/>
    <w:rsid w:val="00235297"/>
    <w:rsid w:val="002643F7"/>
    <w:rsid w:val="00267301"/>
    <w:rsid w:val="00277332"/>
    <w:rsid w:val="002856C2"/>
    <w:rsid w:val="00294515"/>
    <w:rsid w:val="002A02D2"/>
    <w:rsid w:val="002A63A0"/>
    <w:rsid w:val="002B155A"/>
    <w:rsid w:val="002B6D35"/>
    <w:rsid w:val="002D4930"/>
    <w:rsid w:val="00312F86"/>
    <w:rsid w:val="00321D7F"/>
    <w:rsid w:val="00321FF5"/>
    <w:rsid w:val="003279F7"/>
    <w:rsid w:val="00344156"/>
    <w:rsid w:val="00344425"/>
    <w:rsid w:val="00365001"/>
    <w:rsid w:val="00377C3B"/>
    <w:rsid w:val="003A3FFF"/>
    <w:rsid w:val="003B2BDA"/>
    <w:rsid w:val="003D4BDD"/>
    <w:rsid w:val="003D4F7E"/>
    <w:rsid w:val="003D73D9"/>
    <w:rsid w:val="003D7CC6"/>
    <w:rsid w:val="003E5633"/>
    <w:rsid w:val="003E636D"/>
    <w:rsid w:val="003F6D36"/>
    <w:rsid w:val="00400E61"/>
    <w:rsid w:val="004357EB"/>
    <w:rsid w:val="00437A52"/>
    <w:rsid w:val="00437B45"/>
    <w:rsid w:val="004539A1"/>
    <w:rsid w:val="004664DA"/>
    <w:rsid w:val="00467E79"/>
    <w:rsid w:val="0049106C"/>
    <w:rsid w:val="004C0459"/>
    <w:rsid w:val="004C46D9"/>
    <w:rsid w:val="004C7AE1"/>
    <w:rsid w:val="004C7D54"/>
    <w:rsid w:val="004D054C"/>
    <w:rsid w:val="004D6F64"/>
    <w:rsid w:val="004E4575"/>
    <w:rsid w:val="004E4EE2"/>
    <w:rsid w:val="004F1B5E"/>
    <w:rsid w:val="00500842"/>
    <w:rsid w:val="00507111"/>
    <w:rsid w:val="005159E7"/>
    <w:rsid w:val="00524BFD"/>
    <w:rsid w:val="00544FAE"/>
    <w:rsid w:val="00563CFD"/>
    <w:rsid w:val="005754DB"/>
    <w:rsid w:val="00582CB6"/>
    <w:rsid w:val="00585151"/>
    <w:rsid w:val="005A052C"/>
    <w:rsid w:val="005A3487"/>
    <w:rsid w:val="005A7D0B"/>
    <w:rsid w:val="005B4EB9"/>
    <w:rsid w:val="005F35BE"/>
    <w:rsid w:val="005F3AC8"/>
    <w:rsid w:val="0060582D"/>
    <w:rsid w:val="00622415"/>
    <w:rsid w:val="00625E47"/>
    <w:rsid w:val="0063113C"/>
    <w:rsid w:val="0063196A"/>
    <w:rsid w:val="00631B5B"/>
    <w:rsid w:val="0063731C"/>
    <w:rsid w:val="006558DC"/>
    <w:rsid w:val="0065705C"/>
    <w:rsid w:val="00690406"/>
    <w:rsid w:val="006952C4"/>
    <w:rsid w:val="006C51F1"/>
    <w:rsid w:val="006F3498"/>
    <w:rsid w:val="00704788"/>
    <w:rsid w:val="007156B2"/>
    <w:rsid w:val="00721D70"/>
    <w:rsid w:val="00727AEF"/>
    <w:rsid w:val="00732F93"/>
    <w:rsid w:val="00734F13"/>
    <w:rsid w:val="0074564D"/>
    <w:rsid w:val="00751771"/>
    <w:rsid w:val="007578E0"/>
    <w:rsid w:val="0077602A"/>
    <w:rsid w:val="007813A7"/>
    <w:rsid w:val="007C51E7"/>
    <w:rsid w:val="007D2C7B"/>
    <w:rsid w:val="007F0F14"/>
    <w:rsid w:val="007F2587"/>
    <w:rsid w:val="008002CC"/>
    <w:rsid w:val="008070AA"/>
    <w:rsid w:val="008320CF"/>
    <w:rsid w:val="00843D09"/>
    <w:rsid w:val="00864EE2"/>
    <w:rsid w:val="00865337"/>
    <w:rsid w:val="00871059"/>
    <w:rsid w:val="008735CA"/>
    <w:rsid w:val="00874D59"/>
    <w:rsid w:val="00891015"/>
    <w:rsid w:val="008A5E12"/>
    <w:rsid w:val="008C73AE"/>
    <w:rsid w:val="008D337B"/>
    <w:rsid w:val="008E7410"/>
    <w:rsid w:val="008F61B2"/>
    <w:rsid w:val="00906CA7"/>
    <w:rsid w:val="00910EC7"/>
    <w:rsid w:val="0091178A"/>
    <w:rsid w:val="00931F1B"/>
    <w:rsid w:val="00940180"/>
    <w:rsid w:val="00951360"/>
    <w:rsid w:val="00966187"/>
    <w:rsid w:val="00977ECD"/>
    <w:rsid w:val="00990884"/>
    <w:rsid w:val="00993DA5"/>
    <w:rsid w:val="00997DC9"/>
    <w:rsid w:val="009B252A"/>
    <w:rsid w:val="009B52AC"/>
    <w:rsid w:val="009C4B61"/>
    <w:rsid w:val="009F25A1"/>
    <w:rsid w:val="00A02EF8"/>
    <w:rsid w:val="00A213B8"/>
    <w:rsid w:val="00A27858"/>
    <w:rsid w:val="00A30701"/>
    <w:rsid w:val="00A65BA8"/>
    <w:rsid w:val="00A707F8"/>
    <w:rsid w:val="00A763D0"/>
    <w:rsid w:val="00A86630"/>
    <w:rsid w:val="00A93892"/>
    <w:rsid w:val="00A94720"/>
    <w:rsid w:val="00A95EA0"/>
    <w:rsid w:val="00A96B2A"/>
    <w:rsid w:val="00AB0190"/>
    <w:rsid w:val="00AB240A"/>
    <w:rsid w:val="00AD7431"/>
    <w:rsid w:val="00B13D3D"/>
    <w:rsid w:val="00B148A3"/>
    <w:rsid w:val="00B3025A"/>
    <w:rsid w:val="00B44579"/>
    <w:rsid w:val="00B56667"/>
    <w:rsid w:val="00B66D9D"/>
    <w:rsid w:val="00B74F45"/>
    <w:rsid w:val="00B809B9"/>
    <w:rsid w:val="00B82671"/>
    <w:rsid w:val="00B878B7"/>
    <w:rsid w:val="00B950C8"/>
    <w:rsid w:val="00BA6853"/>
    <w:rsid w:val="00BC6D1F"/>
    <w:rsid w:val="00BE0ADE"/>
    <w:rsid w:val="00BE0E62"/>
    <w:rsid w:val="00C20B48"/>
    <w:rsid w:val="00C27AD1"/>
    <w:rsid w:val="00C351C3"/>
    <w:rsid w:val="00C505B7"/>
    <w:rsid w:val="00C50978"/>
    <w:rsid w:val="00C70E63"/>
    <w:rsid w:val="00C753DA"/>
    <w:rsid w:val="00C842EC"/>
    <w:rsid w:val="00C94ABC"/>
    <w:rsid w:val="00CB1974"/>
    <w:rsid w:val="00CB577B"/>
    <w:rsid w:val="00CC2743"/>
    <w:rsid w:val="00CE7D43"/>
    <w:rsid w:val="00CF61BE"/>
    <w:rsid w:val="00D15766"/>
    <w:rsid w:val="00D406E5"/>
    <w:rsid w:val="00D607E6"/>
    <w:rsid w:val="00D62B44"/>
    <w:rsid w:val="00DA40D5"/>
    <w:rsid w:val="00DD1AD2"/>
    <w:rsid w:val="00DE2CE4"/>
    <w:rsid w:val="00E15D9B"/>
    <w:rsid w:val="00E243D9"/>
    <w:rsid w:val="00E24A3C"/>
    <w:rsid w:val="00E26ADE"/>
    <w:rsid w:val="00E556CC"/>
    <w:rsid w:val="00E57D03"/>
    <w:rsid w:val="00E66CE8"/>
    <w:rsid w:val="00E67D75"/>
    <w:rsid w:val="00E7406E"/>
    <w:rsid w:val="00E97152"/>
    <w:rsid w:val="00EA2ED8"/>
    <w:rsid w:val="00EA7477"/>
    <w:rsid w:val="00EB55C5"/>
    <w:rsid w:val="00EB5BDD"/>
    <w:rsid w:val="00EC2371"/>
    <w:rsid w:val="00EC2760"/>
    <w:rsid w:val="00F21244"/>
    <w:rsid w:val="00F27681"/>
    <w:rsid w:val="00F342A2"/>
    <w:rsid w:val="00F351E3"/>
    <w:rsid w:val="00F37E94"/>
    <w:rsid w:val="00F42C35"/>
    <w:rsid w:val="00F45F13"/>
    <w:rsid w:val="00F60C0C"/>
    <w:rsid w:val="00F73443"/>
    <w:rsid w:val="00F963D3"/>
    <w:rsid w:val="00F97808"/>
    <w:rsid w:val="00FA1FDD"/>
    <w:rsid w:val="00FB09BB"/>
    <w:rsid w:val="00FB0C70"/>
    <w:rsid w:val="00FB0DA6"/>
    <w:rsid w:val="00FD1584"/>
    <w:rsid w:val="00FF1ED9"/>
    <w:rsid w:val="00FF5864"/>
    <w:rsid w:val="04B62F1B"/>
    <w:rsid w:val="08031050"/>
    <w:rsid w:val="098C3763"/>
    <w:rsid w:val="0E63381E"/>
    <w:rsid w:val="18CE59CC"/>
    <w:rsid w:val="19CE1617"/>
    <w:rsid w:val="1E0928BB"/>
    <w:rsid w:val="21780DFD"/>
    <w:rsid w:val="2265586D"/>
    <w:rsid w:val="227F60DC"/>
    <w:rsid w:val="2E275856"/>
    <w:rsid w:val="2FED4E5A"/>
    <w:rsid w:val="392650FF"/>
    <w:rsid w:val="3E645A27"/>
    <w:rsid w:val="3F1461F9"/>
    <w:rsid w:val="3F3C12AC"/>
    <w:rsid w:val="471E56C4"/>
    <w:rsid w:val="475F0828"/>
    <w:rsid w:val="482E30B0"/>
    <w:rsid w:val="4A985F30"/>
    <w:rsid w:val="4B724693"/>
    <w:rsid w:val="64104AFB"/>
    <w:rsid w:val="67893C13"/>
    <w:rsid w:val="70AD14FF"/>
    <w:rsid w:val="70B66676"/>
    <w:rsid w:val="774F36ED"/>
    <w:rsid w:val="78E8254F"/>
    <w:rsid w:val="7C305B0A"/>
    <w:rsid w:val="7C5C4E8E"/>
    <w:rsid w:val="7E61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2" w:semiHidden="0" w:name="heading 3"/>
    <w:lsdException w:qFormat="1" w:unhideWhenUsed="0" w:uiPriority="3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4"/>
    <w:link w:val="25"/>
    <w:qFormat/>
    <w:uiPriority w:val="0"/>
    <w:pPr>
      <w:numPr>
        <w:ilvl w:val="0"/>
        <w:numId w:val="1"/>
      </w:numPr>
      <w:spacing w:before="120" w:after="60"/>
      <w:ind w:firstLine="0" w:firstLineChars="0"/>
      <w:jc w:val="left"/>
      <w:outlineLvl w:val="0"/>
    </w:pPr>
    <w:rPr>
      <w:rFonts w:eastAsia="黑体"/>
      <w:bCs/>
      <w:kern w:val="44"/>
      <w:szCs w:val="44"/>
    </w:rPr>
  </w:style>
  <w:style w:type="paragraph" w:styleId="5">
    <w:name w:val="heading 2"/>
    <w:basedOn w:val="4"/>
    <w:next w:val="4"/>
    <w:link w:val="26"/>
    <w:qFormat/>
    <w:uiPriority w:val="1"/>
    <w:pPr>
      <w:keepNext/>
      <w:keepLines/>
      <w:numPr>
        <w:ilvl w:val="1"/>
        <w:numId w:val="1"/>
      </w:numPr>
      <w:spacing w:before="120" w:after="60"/>
      <w:ind w:firstLine="0" w:firstLineChars="0"/>
      <w:outlineLvl w:val="1"/>
    </w:pPr>
    <w:rPr>
      <w:rFonts w:eastAsia="楷体_GB2312" w:cstheme="majorBidi"/>
      <w:b/>
      <w:bCs/>
      <w:szCs w:val="32"/>
    </w:rPr>
  </w:style>
  <w:style w:type="paragraph" w:styleId="6">
    <w:name w:val="heading 3"/>
    <w:basedOn w:val="4"/>
    <w:next w:val="4"/>
    <w:link w:val="33"/>
    <w:qFormat/>
    <w:uiPriority w:val="2"/>
    <w:pPr>
      <w:keepNext/>
      <w:keepLines/>
      <w:numPr>
        <w:ilvl w:val="2"/>
        <w:numId w:val="1"/>
      </w:numPr>
      <w:spacing w:before="120" w:after="60"/>
      <w:ind w:firstLine="0" w:firstLineChars="0"/>
      <w:outlineLvl w:val="2"/>
    </w:pPr>
    <w:rPr>
      <w:bCs/>
      <w:szCs w:val="32"/>
    </w:rPr>
  </w:style>
  <w:style w:type="paragraph" w:styleId="7">
    <w:name w:val="heading 4"/>
    <w:basedOn w:val="4"/>
    <w:next w:val="1"/>
    <w:link w:val="28"/>
    <w:qFormat/>
    <w:uiPriority w:val="3"/>
    <w:pPr>
      <w:keepNext/>
      <w:keepLines/>
      <w:numPr>
        <w:ilvl w:val="3"/>
        <w:numId w:val="1"/>
      </w:numPr>
      <w:spacing w:before="120" w:after="60"/>
      <w:ind w:firstLine="0" w:firstLineChars="0"/>
      <w:outlineLvl w:val="3"/>
    </w:pPr>
    <w:rPr>
      <w:rFonts w:cstheme="majorBidi"/>
      <w:b/>
      <w:bCs/>
    </w:rPr>
  </w:style>
  <w:style w:type="paragraph" w:styleId="8">
    <w:name w:val="heading 5"/>
    <w:basedOn w:val="4"/>
    <w:next w:val="4"/>
    <w:link w:val="29"/>
    <w:unhideWhenUsed/>
    <w:qFormat/>
    <w:uiPriority w:val="9"/>
    <w:pPr>
      <w:keepNext/>
      <w:keepLines/>
      <w:numPr>
        <w:ilvl w:val="4"/>
        <w:numId w:val="1"/>
      </w:numPr>
      <w:spacing w:before="120" w:after="60"/>
      <w:ind w:firstLine="0" w:firstLineChars="0"/>
      <w:outlineLvl w:val="4"/>
    </w:pPr>
    <w:rPr>
      <w:b/>
      <w:bCs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40"/>
    <w:qFormat/>
    <w:uiPriority w:val="0"/>
    <w:pPr>
      <w:spacing w:after="120"/>
    </w:pPr>
  </w:style>
  <w:style w:type="paragraph" w:customStyle="1" w:styleId="4">
    <w:name w:val="汇政正文"/>
    <w:basedOn w:val="1"/>
    <w:link w:val="30"/>
    <w:qFormat/>
    <w:uiPriority w:val="3"/>
    <w:pPr>
      <w:spacing w:line="600" w:lineRule="exact"/>
      <w:ind w:firstLine="200" w:firstLineChars="200"/>
    </w:pPr>
    <w:rPr>
      <w:rFonts w:eastAsia="仿宋_GB2312"/>
      <w:kern w:val="0"/>
      <w:sz w:val="32"/>
      <w:szCs w:val="28"/>
      <w:lang w:val="zh-CN"/>
    </w:rPr>
  </w:style>
  <w:style w:type="paragraph" w:styleId="9">
    <w:name w:val="Salutation"/>
    <w:basedOn w:val="1"/>
    <w:next w:val="1"/>
    <w:link w:val="22"/>
    <w:semiHidden/>
    <w:unhideWhenUsed/>
    <w:qFormat/>
    <w:uiPriority w:val="99"/>
  </w:style>
  <w:style w:type="paragraph" w:styleId="10">
    <w:name w:val="Balloon Text"/>
    <w:basedOn w:val="1"/>
    <w:link w:val="35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460" w:lineRule="exact"/>
    </w:pPr>
    <w:rPr>
      <w:rFonts w:eastAsia="仿宋_GB2312"/>
      <w:b/>
      <w:kern w:val="0"/>
      <w:sz w:val="28"/>
      <w:szCs w:val="28"/>
      <w:lang w:val="zh-CN"/>
    </w:rPr>
  </w:style>
  <w:style w:type="paragraph" w:styleId="14">
    <w:name w:val="toc 2"/>
    <w:basedOn w:val="1"/>
    <w:next w:val="1"/>
    <w:unhideWhenUsed/>
    <w:qFormat/>
    <w:uiPriority w:val="39"/>
    <w:pPr>
      <w:tabs>
        <w:tab w:val="right" w:leader="dot" w:pos="8296"/>
      </w:tabs>
      <w:spacing w:line="460" w:lineRule="exact"/>
      <w:ind w:left="200" w:leftChars="200"/>
    </w:pPr>
    <w:rPr>
      <w:rFonts w:eastAsia="仿宋_GB2312"/>
      <w:kern w:val="0"/>
      <w:sz w:val="28"/>
      <w:szCs w:val="28"/>
      <w:lang w:val="zh-CN"/>
    </w:r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19">
    <w:name w:val="页脚 字符"/>
    <w:basedOn w:val="16"/>
    <w:link w:val="11"/>
    <w:qFormat/>
    <w:uiPriority w:val="99"/>
    <w:rPr>
      <w:sz w:val="18"/>
      <w:szCs w:val="18"/>
    </w:rPr>
  </w:style>
  <w:style w:type="paragraph" w:customStyle="1" w:styleId="20">
    <w:name w:val="汇政封面项目信息"/>
    <w:basedOn w:val="1"/>
    <w:next w:val="1"/>
    <w:qFormat/>
    <w:uiPriority w:val="0"/>
    <w:pPr>
      <w:spacing w:before="120"/>
      <w:ind w:left="800" w:leftChars="800"/>
      <w:jc w:val="left"/>
    </w:pPr>
    <w:rPr>
      <w:rFonts w:eastAsia="黑体"/>
      <w:kern w:val="0"/>
      <w:sz w:val="28"/>
      <w:szCs w:val="28"/>
      <w:lang w:val="zh-CN"/>
    </w:rPr>
  </w:style>
  <w:style w:type="paragraph" w:customStyle="1" w:styleId="21">
    <w:name w:val="闻政页码"/>
    <w:qFormat/>
    <w:uiPriority w:val="0"/>
    <w:pPr>
      <w:jc w:val="center"/>
    </w:pPr>
    <w:rPr>
      <w:rFonts w:ascii="Times New Roman" w:hAnsi="Times New Roman" w:eastAsia="Times New Roman" w:cs="Times New Roman"/>
      <w:szCs w:val="28"/>
      <w:lang w:val="en-US" w:eastAsia="zh-CN" w:bidi="ar-SA"/>
    </w:rPr>
  </w:style>
  <w:style w:type="character" w:customStyle="1" w:styleId="22">
    <w:name w:val="称呼 字符"/>
    <w:basedOn w:val="16"/>
    <w:link w:val="9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23">
    <w:name w:val="闻政封面完成时间"/>
    <w:basedOn w:val="1"/>
    <w:qFormat/>
    <w:uiPriority w:val="0"/>
    <w:pPr>
      <w:spacing w:before="120"/>
      <w:jc w:val="center"/>
    </w:pPr>
    <w:rPr>
      <w:rFonts w:eastAsia="黑体"/>
      <w:b/>
      <w:kern w:val="0"/>
      <w:sz w:val="28"/>
      <w:szCs w:val="28"/>
      <w:lang w:val="zh-CN"/>
    </w:rPr>
  </w:style>
  <w:style w:type="paragraph" w:customStyle="1" w:styleId="24">
    <w:name w:val="汇政页码"/>
    <w:qFormat/>
    <w:uiPriority w:val="6"/>
    <w:pPr>
      <w:jc w:val="center"/>
    </w:pPr>
    <w:rPr>
      <w:rFonts w:ascii="Times New Roman" w:hAnsi="Times New Roman" w:eastAsia="Times New Roman" w:cs="Times New Roman"/>
      <w:sz w:val="21"/>
      <w:szCs w:val="28"/>
      <w:lang w:val="en-US" w:eastAsia="zh-CN" w:bidi="ar-SA"/>
    </w:rPr>
  </w:style>
  <w:style w:type="character" w:customStyle="1" w:styleId="25">
    <w:name w:val="标题 1 字符"/>
    <w:basedOn w:val="16"/>
    <w:link w:val="3"/>
    <w:qFormat/>
    <w:uiPriority w:val="0"/>
    <w:rPr>
      <w:rFonts w:ascii="Times New Roman" w:hAnsi="Times New Roman" w:eastAsia="黑体" w:cs="Times New Roman"/>
      <w:bCs/>
      <w:kern w:val="44"/>
      <w:sz w:val="32"/>
      <w:szCs w:val="44"/>
      <w:lang w:val="zh-CN"/>
    </w:rPr>
  </w:style>
  <w:style w:type="character" w:customStyle="1" w:styleId="26">
    <w:name w:val="标题 2 字符"/>
    <w:basedOn w:val="16"/>
    <w:link w:val="5"/>
    <w:qFormat/>
    <w:uiPriority w:val="1"/>
    <w:rPr>
      <w:rFonts w:ascii="Times New Roman" w:hAnsi="Times New Roman" w:eastAsia="楷体_GB2312" w:cstheme="majorBidi"/>
      <w:b/>
      <w:bCs/>
      <w:kern w:val="0"/>
      <w:sz w:val="32"/>
      <w:szCs w:val="32"/>
      <w:lang w:val="zh-CN"/>
    </w:rPr>
  </w:style>
  <w:style w:type="character" w:customStyle="1" w:styleId="27">
    <w:name w:val="标题 3 字符"/>
    <w:basedOn w:val="16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8">
    <w:name w:val="标题 4 字符"/>
    <w:basedOn w:val="16"/>
    <w:link w:val="7"/>
    <w:qFormat/>
    <w:uiPriority w:val="3"/>
    <w:rPr>
      <w:rFonts w:ascii="Times New Roman" w:hAnsi="Times New Roman" w:eastAsia="仿宋_GB2312" w:cstheme="majorBidi"/>
      <w:b/>
      <w:bCs/>
      <w:kern w:val="0"/>
      <w:sz w:val="32"/>
      <w:szCs w:val="28"/>
      <w:lang w:val="zh-CN"/>
    </w:rPr>
  </w:style>
  <w:style w:type="character" w:customStyle="1" w:styleId="29">
    <w:name w:val="标题 5 字符"/>
    <w:basedOn w:val="16"/>
    <w:link w:val="8"/>
    <w:qFormat/>
    <w:uiPriority w:val="9"/>
    <w:rPr>
      <w:rFonts w:ascii="Times New Roman" w:hAnsi="Times New Roman" w:eastAsia="仿宋_GB2312" w:cs="Times New Roman"/>
      <w:b/>
      <w:bCs/>
      <w:kern w:val="0"/>
      <w:sz w:val="32"/>
      <w:szCs w:val="28"/>
      <w:lang w:val="zh-CN"/>
    </w:rPr>
  </w:style>
  <w:style w:type="character" w:customStyle="1" w:styleId="30">
    <w:name w:val="汇政正文 Char"/>
    <w:link w:val="4"/>
    <w:qFormat/>
    <w:uiPriority w:val="3"/>
    <w:rPr>
      <w:rFonts w:ascii="Times New Roman" w:hAnsi="Times New Roman" w:eastAsia="仿宋_GB2312" w:cs="Times New Roman"/>
      <w:kern w:val="0"/>
      <w:sz w:val="32"/>
      <w:szCs w:val="28"/>
      <w:lang w:val="zh-CN"/>
    </w:rPr>
  </w:style>
  <w:style w:type="paragraph" w:customStyle="1" w:styleId="31">
    <w:name w:val="汇政附件标题"/>
    <w:basedOn w:val="4"/>
    <w:qFormat/>
    <w:uiPriority w:val="6"/>
    <w:pPr>
      <w:numPr>
        <w:ilvl w:val="5"/>
        <w:numId w:val="1"/>
      </w:numPr>
      <w:spacing w:before="120" w:after="60" w:line="240" w:lineRule="auto"/>
      <w:ind w:left="1276" w:firstLineChars="0"/>
      <w:outlineLvl w:val="0"/>
    </w:pPr>
    <w:rPr>
      <w:rFonts w:eastAsia="黑体"/>
      <w:b/>
    </w:rPr>
  </w:style>
  <w:style w:type="paragraph" w:customStyle="1" w:styleId="32">
    <w:name w:val="闻政图表名"/>
    <w:basedOn w:val="1"/>
    <w:link w:val="34"/>
    <w:qFormat/>
    <w:uiPriority w:val="4"/>
    <w:pPr>
      <w:spacing w:before="60" w:after="60"/>
      <w:jc w:val="center"/>
    </w:pPr>
    <w:rPr>
      <w:rFonts w:eastAsia="仿宋_GB2312"/>
      <w:b/>
      <w:kern w:val="0"/>
      <w:sz w:val="24"/>
      <w:szCs w:val="28"/>
    </w:rPr>
  </w:style>
  <w:style w:type="character" w:customStyle="1" w:styleId="33">
    <w:name w:val="标题 3 字符1"/>
    <w:basedOn w:val="16"/>
    <w:link w:val="6"/>
    <w:qFormat/>
    <w:uiPriority w:val="2"/>
    <w:rPr>
      <w:rFonts w:ascii="Times New Roman" w:hAnsi="Times New Roman" w:eastAsia="仿宋_GB2312" w:cs="Times New Roman"/>
      <w:bCs/>
      <w:kern w:val="0"/>
      <w:sz w:val="32"/>
      <w:szCs w:val="32"/>
      <w:lang w:val="zh-CN"/>
    </w:rPr>
  </w:style>
  <w:style w:type="character" w:customStyle="1" w:styleId="34">
    <w:name w:val="闻政图表名 字符"/>
    <w:link w:val="32"/>
    <w:qFormat/>
    <w:uiPriority w:val="4"/>
    <w:rPr>
      <w:rFonts w:ascii="Times New Roman" w:hAnsi="Times New Roman" w:eastAsia="仿宋_GB2312" w:cs="Times New Roman"/>
      <w:b/>
      <w:kern w:val="0"/>
      <w:sz w:val="24"/>
      <w:szCs w:val="28"/>
    </w:rPr>
  </w:style>
  <w:style w:type="character" w:customStyle="1" w:styleId="35">
    <w:name w:val="批注框文本 字符"/>
    <w:basedOn w:val="16"/>
    <w:link w:val="10"/>
    <w:semiHidden/>
    <w:qFormat/>
    <w:uiPriority w:val="99"/>
    <w:rPr>
      <w:sz w:val="18"/>
      <w:szCs w:val="18"/>
    </w:rPr>
  </w:style>
  <w:style w:type="paragraph" w:customStyle="1" w:styleId="36">
    <w:name w:val="汇政图表名"/>
    <w:basedOn w:val="1"/>
    <w:link w:val="37"/>
    <w:qFormat/>
    <w:uiPriority w:val="4"/>
    <w:pPr>
      <w:spacing w:before="60" w:after="60"/>
      <w:jc w:val="center"/>
    </w:pPr>
    <w:rPr>
      <w:rFonts w:eastAsia="仿宋_GB2312"/>
      <w:b/>
      <w:kern w:val="0"/>
      <w:sz w:val="24"/>
      <w:szCs w:val="28"/>
    </w:rPr>
  </w:style>
  <w:style w:type="character" w:customStyle="1" w:styleId="37">
    <w:name w:val="汇政图表名 Char"/>
    <w:link w:val="36"/>
    <w:qFormat/>
    <w:uiPriority w:val="4"/>
    <w:rPr>
      <w:rFonts w:ascii="Times New Roman" w:hAnsi="Times New Roman" w:eastAsia="仿宋_GB2312" w:cs="Times New Roman"/>
      <w:b/>
      <w:kern w:val="0"/>
      <w:sz w:val="24"/>
      <w:szCs w:val="28"/>
    </w:rPr>
  </w:style>
  <w:style w:type="character" w:customStyle="1" w:styleId="38">
    <w:name w:val="汇政正文 字符"/>
    <w:qFormat/>
    <w:uiPriority w:val="3"/>
    <w:rPr>
      <w:rFonts w:ascii="Times New Roman" w:hAnsi="Times New Roman" w:eastAsia="仿宋_GB2312" w:cs="Times New Roman"/>
      <w:kern w:val="0"/>
      <w:sz w:val="28"/>
      <w:szCs w:val="28"/>
      <w:lang w:val="zh-CN" w:eastAsia="zh-CN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character" w:customStyle="1" w:styleId="40">
    <w:name w:val="正文文本 字符"/>
    <w:basedOn w:val="16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1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42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117E98-8AA1-4DCB-9A55-15DB399945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614</Words>
  <Characters>3505</Characters>
  <Lines>29</Lines>
  <Paragraphs>8</Paragraphs>
  <TotalTime>2</TotalTime>
  <ScaleCrop>false</ScaleCrop>
  <LinksUpToDate>false</LinksUpToDate>
  <CharactersWithSpaces>4111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2022-07-30T03:50:00Z</dcterms:created>
  <dc:creator>Administrator</dc:creator>
  <cp:lastModifiedBy>“卟懂爱”</cp:lastModifiedBy>
  <cp:lastPrinted>2023-02-05T07:10:21Z</cp:lastPrinted>
  <dcterms:modified xsi:type="dcterms:W3CDTF">2023-02-05T07:12:32Z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71EB4BFD1A4A45299B506D37C9D01634</vt:lpwstr>
  </property>
</Properties>
</file>